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25400</wp:posOffset>
            </wp:positionH>
            <wp:positionV relativeFrom="paragraph">
              <wp:posOffset>25400</wp:posOffset>
            </wp:positionV>
            <wp:extent cx="275590" cy="313055"/>
            <wp:effectExtent l="0" t="0" r="0" b="0"/>
            <wp:wrapSquare wrapText="largest"/>
            <wp:docPr id="1" name="Графический 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5" t="-48" r="-55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Н</w:t>
      </w:r>
      <w:r>
        <w:rPr>
          <w:sz w:val="32"/>
          <w:szCs w:val="32"/>
        </w:rPr>
        <w:t>аучно-производственное предприятие "СЕМИКО"</w:t>
      </w:r>
    </w:p>
    <w:p>
      <w:pPr>
        <w:pStyle w:val="Style15"/>
        <w:jc w:val="center"/>
        <w:rPr>
          <w:b/>
          <w:b/>
          <w:bCs/>
        </w:rPr>
      </w:pPr>
      <w:r>
        <w:rPr>
          <w:b/>
          <w:bCs/>
        </w:rPr>
        <w:t>Прайс-лист</w:t>
      </w:r>
    </w:p>
    <w:tbl>
      <w:tblPr>
        <w:tblW w:w="9615" w:type="dxa"/>
        <w:jc w:val="left"/>
        <w:tblInd w:w="6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2"/>
        <w:gridCol w:w="7661"/>
        <w:gridCol w:w="1222"/>
      </w:tblGrid>
      <w:tr>
        <w:trPr>
          <w:cantSplit w:val="true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spacing w:lineRule="auto" w:line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spacing w:lineRule="auto" w:line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Цена, руб.</w:t>
            </w:r>
          </w:p>
          <w:p>
            <w:pPr>
              <w:pStyle w:val="Style21"/>
              <w:spacing w:lineRule="auto" w:line="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НДС не облагается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1"/>
              <w:tabs>
                <w:tab w:val="clear" w:pos="709"/>
                <w:tab w:val="left" w:pos="0" w:leader="none"/>
              </w:tabs>
              <w:spacing w:lineRule="auto" w:line="264" w:before="57" w:after="57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1"/>
              <w:tabs>
                <w:tab w:val="clear" w:pos="709"/>
                <w:tab w:val="left" w:pos="0" w:leader="none"/>
              </w:tabs>
              <w:spacing w:lineRule="auto" w:line="264" w:before="57" w:after="57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и принадлежности для электрохимического анализа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tabs>
                <w:tab w:val="clear" w:pos="709"/>
                <w:tab w:val="left" w:pos="0" w:leader="none"/>
              </w:tabs>
              <w:spacing w:lineRule="auto" w:line="264" w:before="57" w:after="57"/>
              <w:ind w:left="0" w:hanging="0"/>
              <w:rPr/>
            </w:pPr>
            <w:r>
              <w:rPr/>
              <w:t>1.1</w:t>
            </w:r>
          </w:p>
        </w:tc>
        <w:tc>
          <w:tcPr>
            <w:tcW w:w="8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2"/>
              <w:tabs>
                <w:tab w:val="clear" w:pos="709"/>
                <w:tab w:val="left" w:pos="0" w:leader="none"/>
              </w:tabs>
              <w:spacing w:lineRule="auto" w:line="264" w:before="57" w:after="57"/>
              <w:ind w:left="0" w:hanging="0"/>
              <w:rPr/>
            </w:pPr>
            <w:r>
              <w:rPr/>
              <w:t>Приборы (цены без поверки **)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264" w:before="57" w:after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lineRule="auto" w:line="264" w:before="57" w:after="57"/>
              <w:rPr>
                <w:rFonts w:ascii="Arial" w:hAnsi="Arial" w:eastAsia="Bitstream Vera Sans" w:cs="Times New Roman"/>
                <w:b/>
                <w:b/>
                <w:bCs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/>
                <w:bCs/>
                <w:color w:val="auto"/>
                <w:sz w:val="22"/>
                <w:szCs w:val="22"/>
                <w:lang w:val="ru-RU" w:eastAsia="zxx" w:bidi="zxx"/>
              </w:rPr>
              <w:t xml:space="preserve">pH-метры 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(без поверки**, без электродов)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312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1.1.1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ИПЛ-301 (обычная точность)</w:t>
            </w:r>
          </w:p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  <w:t>- диапазон: ± 3000 мВ; -2...20 ед. pH, 0...100 ºC</w:t>
            </w:r>
          </w:p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  <w:t>- дискретность: 0,1 мВ; 0,01 ед. pH, 0,1 ºC</w:t>
            </w:r>
          </w:p>
          <w:p>
            <w:pPr>
              <w:pStyle w:val="Normal"/>
              <w:snapToGrid w:val="false"/>
              <w:spacing w:lineRule="auto" w:line="312" w:before="0" w:after="57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  <w:t>- погрешность: ± 1,0 мВ; ± 0,02 ед pH; ± 0,5 ºC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312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24 900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312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1.1.2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ИПЛ-311 (повышенная точность)</w:t>
            </w:r>
          </w:p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  <w:t xml:space="preserve">- диапазон: ± 3000 мВ; -2...20 ед. pH, 0...100 ºC </w:t>
            </w:r>
          </w:p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  <w:t>- дискретность: 0,1 мВ; 0,001 ед. pH, 0,1 ºC</w:t>
            </w:r>
          </w:p>
          <w:p>
            <w:pPr>
              <w:pStyle w:val="Normal"/>
              <w:snapToGrid w:val="false"/>
              <w:spacing w:lineRule="auto" w:line="312" w:before="0" w:after="57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  <w:t>- погрешность: ± 0,5 мВ; ± 0,005 ед pH; ± 0,5 ºC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312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33 600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288" w:before="113" w:after="113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pH-метры / иономеры 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(без поверки**, без электродов)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312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1.1.3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ИПЛ-101 (1 канал, обычная точность)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312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25 600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312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1.1.4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ИПЛ-102 (2 канала, обычная точность)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312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31 900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312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1.1.5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ИПЛ-103 (3 канала, обычная точность)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312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34 200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312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1.1.6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ИПЛ-111 (1 канал, повышенная точность)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312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34 200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312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1.1.7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ИПЛ-112 (2 канала, повышенная точность, возможность работы в дифференциальном режиме)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312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41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 600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312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1.1.8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ИПЛ-113 (3 канала, повышенная точность)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312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 900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312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1.1.9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ИПЛ-201 (1 канал, обычная точность, хранение параметров градуировок девяти электродов)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312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28 900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312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1.1.10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ИПЛ-211 (1 канал, повышенная точность, хранение параметров градуировок девяти электродов)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312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6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 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288" w:before="113" w:after="113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pH-метры / иономеры / титраторы 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(без поверки**, без электродов)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312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1.1.11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ИПЛ-101-1 (1 канал, обычная точность, аналоговый и релейные выходы, с функцией блока автоматического титрования)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312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42 600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312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1.1.12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ИПЛ-111-1 (1 канал, повышенная точность, аналоговый и релейные выходы, с функцией блока автоматического титрования)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312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9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 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2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</w:tbl>
    <w:tbl>
      <w:tblPr>
        <w:tblW w:w="9615" w:type="dxa"/>
        <w:jc w:val="left"/>
        <w:tblInd w:w="6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2"/>
        <w:gridCol w:w="7661"/>
        <w:gridCol w:w="1222"/>
      </w:tblGrid>
      <w:tr>
        <w:trPr>
          <w:tblHeader w:val="true"/>
          <w:cantSplit w:val="true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pageBreakBefore/>
              <w:spacing w:lineRule="auto" w:line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312" w:before="170" w:after="17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Комбинированные многоканальные анализаторы 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(без поверки**, без электродов)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312"/>
              <w:ind w:left="0" w:right="113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312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1.1.13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ИПЛ-513 (1 канал для измерения концентрации кислорода и 2 потенциометрических канала повышенной точности) без сенсора O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vertAlign w:val="subscript"/>
                <w:lang w:val="ru-RU" w:eastAsia="zxx" w:bidi="zxx"/>
              </w:rPr>
              <w:t>2</w:t>
            </w:r>
          </w:p>
          <w:p>
            <w:pPr>
              <w:pStyle w:val="Normal"/>
              <w:snapToGrid w:val="false"/>
              <w:spacing w:lineRule="auto" w:line="312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Для канала измерения концентрации 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  <w:t>O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vertAlign w:val="subscript"/>
                <w:lang w:val="ru-RU" w:eastAsia="zxx" w:bidi="zxx"/>
              </w:rPr>
              <w:t>2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position w:val="0"/>
                <w:sz w:val="20"/>
                <w:sz w:val="20"/>
                <w:szCs w:val="20"/>
                <w:vertAlign w:val="baseline"/>
                <w:lang w:val="ru-RU" w:eastAsia="zxx" w:bidi="zxx"/>
              </w:rPr>
              <w:t>: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диапазон 0...20 мг/дм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(0...200%), погрешность преобразования  ± 0,2%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312"/>
              <w:ind w:left="0" w:right="113" w:hanging="0"/>
              <w:jc w:val="right"/>
              <w:rPr/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45 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6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312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1.1.14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ИПЛ-513, с комплектом для измерения концентрации кислорода (БПК)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312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8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6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 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2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312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1.1.15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312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ИПЛ-513, с комплектом для измерения концентрации кислорода в протоке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312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9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2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 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2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288" w:before="113" w:after="113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Кондуктометры (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без поверки**)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288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1.1.16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288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КСЛ-101 с кондуктометрической ячейкой К10.3</w:t>
            </w:r>
          </w:p>
          <w:p>
            <w:pPr>
              <w:pStyle w:val="Normal"/>
              <w:snapToGrid w:val="false"/>
              <w:spacing w:lineRule="auto" w:line="288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 xml:space="preserve">Диапазон 0...20 См/м (0...200 мСм/см), 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  <w:t>погрешность 2%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288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90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 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288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1.1.17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288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КСЛ-101 с кондуктометрической ячейкой К10</w:t>
            </w:r>
          </w:p>
          <w:p>
            <w:pPr>
              <w:pStyle w:val="Normal"/>
              <w:snapToGrid w:val="false"/>
              <w:spacing w:lineRule="auto" w:line="288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 xml:space="preserve">Диапазон 0...20 См/м (0...200 мСм/см), 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  <w:t>погрешность 2%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288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112 600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288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1.1.18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288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МУЛЬТИТЕСТ КСЛ-111 с кондуктометрической ячейкой К10</w:t>
            </w:r>
          </w:p>
          <w:p>
            <w:pPr>
              <w:pStyle w:val="Normal"/>
              <w:snapToGrid w:val="false"/>
              <w:spacing w:lineRule="auto" w:line="288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 xml:space="preserve">Диапазон 0...20 См/м (0...200 мСм/см), 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0"/>
                <w:szCs w:val="20"/>
                <w:lang w:val="ru-RU" w:eastAsia="zxx" w:bidi="zxx"/>
              </w:rPr>
              <w:t>погрешность 1%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288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124 800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tabs>
                <w:tab w:val="clear" w:pos="709"/>
                <w:tab w:val="left" w:pos="0" w:leader="none"/>
              </w:tabs>
              <w:spacing w:before="0" w:after="119"/>
              <w:ind w:left="0" w:hanging="0"/>
              <w:rPr/>
            </w:pPr>
            <w:r>
              <w:rPr/>
              <w:t>1.2</w:t>
            </w:r>
          </w:p>
        </w:tc>
        <w:tc>
          <w:tcPr>
            <w:tcW w:w="8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2"/>
              <w:tabs>
                <w:tab w:val="clear" w:pos="709"/>
                <w:tab w:val="left" w:pos="0" w:leader="none"/>
              </w:tabs>
              <w:spacing w:before="0" w:after="119"/>
              <w:ind w:left="0" w:hanging="0"/>
              <w:rPr/>
            </w:pPr>
            <w:r>
              <w:rPr/>
              <w:t>Принадлежности **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1.2.1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Мешалка магнитная МУЛЬТИТЕСТ ПС-11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7 600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1.2.2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Комплект для определения pH (электродная система, стандарт-титры, штатив для электродов)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13 800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 xml:space="preserve">Комплект для определения pH № 2 (электродная система, стандарт-титры, штатив для электродов, 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ru-RU" w:bidi="zxx"/>
              </w:rPr>
              <w:t>мешалка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20 800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определения pH № 3 (комбинированный pH электрод со встроенным термокомпенсатором и переходником; стандарт-титры; штатив для электродов)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14 800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1.2.5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определения pH № 3П (комбинированный pH электрод в пластиковом корпусе со встроенным термокомпенсатором и переходником; стандарт-титры; штатив для электродов)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14 800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1.2.6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определения pH № 4 (комбинированный pH электрод со встроенным термокомпенсатором и переходником; стандарт-титры; штатив для электродов, магнитная мешалка)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21 900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1.2.7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определения pH № 4П (комбинированный pH электрод в пластиковом корпусе со встроенным термокомпенсатором и переходником; стандарт-титры; штатив для электродов, магнитная мешалка)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21 900</w:t>
            </w:r>
          </w:p>
        </w:tc>
      </w:tr>
    </w:tbl>
    <w:tbl>
      <w:tblPr>
        <w:tblW w:w="9615" w:type="dxa"/>
        <w:jc w:val="left"/>
        <w:tblInd w:w="6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2"/>
        <w:gridCol w:w="7661"/>
        <w:gridCol w:w="1222"/>
      </w:tblGrid>
      <w:tr>
        <w:trPr>
          <w:cantSplit w:val="true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pageBreakBefore/>
              <w:spacing w:lineRule="auto" w:line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Цена, руб</w:t>
            </w:r>
            <w:r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Style21"/>
              <w:spacing w:lineRule="auto" w: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НДС не облагается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1.2.8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left="0" w:right="0" w:hanging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определения pH и Eh (электроды, стандарт-титры, штатив для электродов)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19 200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1.2.9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left="0" w:right="0" w:hanging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 xml:space="preserve">Комплект для определения pH и Eh № 2 (электроды, стандарт-титры, штатив для электродов, 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ru-RU" w:bidi="zxx"/>
              </w:rPr>
              <w:t>мешалка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25 900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1.2.10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left="0" w:right="0" w:hanging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определения нитратов (электрод на нитраты, электрод сравнения, штатив для электродов)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15 600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1.2.11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left="0" w:right="0" w:hanging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 xml:space="preserve">Комплект для определения нитратов № 2 (электрод на нитраты, электрод сравнения, штатив для электродов, 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ru-RU" w:bidi="zxx"/>
              </w:rPr>
              <w:t>мешалка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22 400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1.2.12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left="0" w:right="0" w:hanging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определения pH и нитратов (электроды на pH и нитраты, два электрода сравнения, стандарт-титры, штатив для электродов)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26 400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1.2.13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left="0" w:right="0" w:hanging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 xml:space="preserve">Комплект для определения pH и нитратов № 2 (электроды на pH и нитраты, два электрода сравнения, стандарт-титры, штатив для электродов, 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ru-RU" w:bidi="zxx"/>
              </w:rPr>
              <w:t>мешалка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39 900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1.2.14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left="0" w:right="0" w:hanging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определения pH и фторидов (электроды на pH и фториды, электрод сравнения, стандарт-титры, штатив для электродов)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22 400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1.2.15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left="0" w:right="0" w:hanging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определения pH и фторидов № 2 (электроды на pH и фториды, электрод сравнения, стандарт-титры, штатив для электродов, мешалка)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29 600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1.2.16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ионометрии (электроды 9 шт.: сравнения одноключевой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ru-RU" w:bidi="zxx"/>
              </w:rPr>
              <w:t xml:space="preserve"> и двухключевой, pH, Eh, натрий, калий, кальций, хлорид, нитрат; штатив 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для электродов,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ru-RU" w:bidi="zxx"/>
              </w:rPr>
              <w:t xml:space="preserve"> мешалка)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69 400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1.2.17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ионометрии № 2 (электроды 11 шт.: сравнения одноключевые 2 шт.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ru-RU" w:bidi="zxx"/>
              </w:rPr>
              <w:t xml:space="preserve"> и двухключевой 1 шт., pH, Eh,  натрий, калий, кальций, хлорид, нитрат, фторид; штатив 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для электродов,</w:t>
            </w: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ru-RU" w:bidi="zxx"/>
              </w:rPr>
              <w:t xml:space="preserve"> мешалка)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74 800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1.2.18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left="0" w:right="0" w:hanging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базовый (клапан и блок управления клапаном)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13 600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1.2.19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left="0" w:right="0" w:hanging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(клапан, блок управления клапаном, электродная система, штатив для электродов, мешалка)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32 900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1.2.20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left="0" w:right="0" w:hanging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№ 2 (клапан, блок управления клапаном, электродная система, штатив для электродов, мешалка, стандарт-титры)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34 600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1.2.21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left="0" w:right="0" w:hanging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№ 3 (клапан, блок управления клапаном, электродная система, штатив для электродов, мешалка, бюретка 1-3-2-10-0,05 на 10 мл с оливой)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34 200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1.2.22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left="0" w:right="0" w:hanging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№ 3-2 (клапан, блок управления клапаном, электродная система, штатив для электродов, мешалка, две бюретки 1-3-2-10-0,05 на 10 мл с оливой)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34 900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1.2.23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left="0" w:right="0" w:hanging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№ 3-К (клапан, блок управления клапаном, электродная система, штатив для электродов, мешалка, бюретка 1-1-2-10-0,05 на 10 мл с краном)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34 600</w:t>
            </w:r>
          </w:p>
        </w:tc>
      </w:tr>
    </w:tbl>
    <w:p>
      <w:pPr>
        <w:pStyle w:val="Style13"/>
        <w:rPr/>
      </w:pPr>
      <w:r>
        <w:rPr/>
      </w:r>
      <w:r>
        <w:br w:type="page"/>
      </w:r>
    </w:p>
    <w:tbl>
      <w:tblPr>
        <w:tblW w:w="9615" w:type="dxa"/>
        <w:jc w:val="left"/>
        <w:tblInd w:w="6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2"/>
        <w:gridCol w:w="7661"/>
        <w:gridCol w:w="1222"/>
      </w:tblGrid>
      <w:tr>
        <w:trPr>
          <w:cantSplit w:val="true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pageBreakBefore/>
              <w:spacing w:lineRule="auto" w:line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pacing w:lineRule="auto" w:line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Цена, руб</w:t>
            </w:r>
            <w:r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Style21"/>
              <w:spacing w:lineRule="auto" w: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НДС не облагается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1.2.24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napToGrid w:val="false"/>
              <w:ind w:left="0" w:right="0" w:hanging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№ 3-К2 (клапан, блок управления клапаном, электродная система, штатив для электродов, мешалка, две бюретки 1-1-2-10-0,05 на 10 мл с краном)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35 600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1.2.25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№ 4 (клапан, блок управления клапаном, электродная система, штатив для электродов, мешалка, бюретка 1-3-2-10-0,05 на 10 мл с оливой, стандарт-титры)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35 400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1.2.26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№ 4-2 (клапан, блок управления клапаном, электродная система, штатив для электродов, мешалка, две бюретки 1-3-2-10-0,05 на 10 мл с оливой, стандарт-титры)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35 800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1.2.27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№ 4-К (клапан, блок управления клапаном, электродная система, штатив для электродов, мешалка, бюретка 1-1-2-10-0,05 на 10 мл с краном, стандарт-титры)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36 200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1.2.28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№ 4-К2 (клапан, блок управления клапаном, электродная система, штатив для электродов, мешалка, две бюретки 1-1-2-10-0,05 на 10 мл с краном, стандарт-титры)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37 400</w:t>
            </w:r>
          </w:p>
        </w:tc>
      </w:tr>
      <w:tr>
        <w:trPr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1.2.29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и Eh (клапан, блок управления клапаном; электроды: pH, Eh, сравнения; штатив, мешалка)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37 400</w:t>
            </w:r>
          </w:p>
        </w:tc>
      </w:tr>
      <w:tr>
        <w:trPr>
          <w:trHeight w:val="913" w:hRule="atLeast"/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1.2.30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и Eh № 2 (клапан, блок управления клапаном; электроды: pH, Eh, сравнения; штатив, мешалка, стандарт-титры)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38 200</w:t>
            </w:r>
          </w:p>
        </w:tc>
      </w:tr>
      <w:tr>
        <w:trPr>
          <w:trHeight w:val="913" w:hRule="atLeast"/>
          <w:cantSplit w:val="true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1.2.31</w:t>
            </w:r>
          </w:p>
        </w:tc>
        <w:tc>
          <w:tcPr>
            <w:tcW w:w="76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Комплект для титрования по рН и Eh № 3 (клапан, блок управления клапаном; электроды: pH, Eh, сравнения; штатив, мешалка, стандарт-титры, бюретка 1-3-2-10-0,05 на 10 мл с оливой)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39 200</w:t>
            </w:r>
          </w:p>
        </w:tc>
      </w:tr>
    </w:tbl>
    <w:tbl>
      <w:tblPr>
        <w:tblW w:w="9615" w:type="dxa"/>
        <w:jc w:val="left"/>
        <w:tblInd w:w="6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9"/>
        <w:gridCol w:w="7652"/>
        <w:gridCol w:w="1224"/>
      </w:tblGrid>
      <w:tr>
        <w:trPr/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left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1.2.32</w:t>
            </w:r>
          </w:p>
        </w:tc>
        <w:tc>
          <w:tcPr>
            <w:tcW w:w="7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Комплект для измерения концентрации кислорода (БПК:</w:t>
            </w:r>
          </w:p>
          <w:p>
            <w:pPr>
              <w:pStyle w:val="Normal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(сенсор О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vertAlign w:val="subscript"/>
                <w:lang w:val="ru-RU" w:eastAsia="zxx" w:bidi="zxx"/>
              </w:rPr>
              <w:t>2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, комплект колпачков, электролит)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40 600</w:t>
            </w:r>
          </w:p>
        </w:tc>
      </w:tr>
      <w:tr>
        <w:trPr/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1.2.33</w:t>
            </w:r>
          </w:p>
        </w:tc>
        <w:tc>
          <w:tcPr>
            <w:tcW w:w="76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Комплект для измерения концентрации кислорода в протоке</w:t>
            </w:r>
          </w:p>
          <w:p>
            <w:pPr>
              <w:pStyle w:val="Normal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(сенсор О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vertAlign w:val="subscript"/>
                <w:lang w:val="ru-RU" w:eastAsia="zxx" w:bidi="zxx"/>
              </w:rPr>
              <w:t xml:space="preserve">2 </w:t>
            </w: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повышенной чувствительности, комплект колпачков, электролит, проточная измерительная камера)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46 600</w:t>
            </w:r>
          </w:p>
        </w:tc>
      </w:tr>
      <w:tr>
        <w:trPr>
          <w:trHeight w:val="542" w:hRule="atLeast"/>
        </w:trPr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1.2.34</w:t>
            </w:r>
          </w:p>
        </w:tc>
        <w:tc>
          <w:tcPr>
            <w:tcW w:w="76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Переходник для термодатчика Pt-1000 (к электродам ЭСК-10305, ЭСК-10605, ЭСК-10309, ЭСК-10609)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1 200</w:t>
            </w:r>
          </w:p>
        </w:tc>
      </w:tr>
    </w:tbl>
    <w:tbl>
      <w:tblPr>
        <w:tblW w:w="9615" w:type="dxa"/>
        <w:jc w:val="left"/>
        <w:tblInd w:w="6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7"/>
        <w:gridCol w:w="7645"/>
        <w:gridCol w:w="1223"/>
      </w:tblGrid>
      <w:tr>
        <w:trPr>
          <w:tblHeader w:val="true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tabs>
                <w:tab w:val="clear" w:pos="709"/>
                <w:tab w:val="left" w:pos="0" w:leader="none"/>
              </w:tabs>
              <w:spacing w:before="113" w:after="113"/>
              <w:ind w:left="0" w:hanging="0"/>
              <w:rPr/>
            </w:pPr>
            <w:r>
              <w:rPr/>
              <w:t>1.3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tabs>
                <w:tab w:val="clear" w:pos="709"/>
                <w:tab w:val="left" w:pos="0" w:leader="none"/>
              </w:tabs>
              <w:spacing w:before="113" w:after="113"/>
              <w:ind w:left="0" w:hanging="0"/>
              <w:rPr/>
            </w:pPr>
            <w:r>
              <w:rPr/>
              <w:t>Запасные части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2"/>
              <w:tabs>
                <w:tab w:val="clear" w:pos="709"/>
                <w:tab w:val="left" w:pos="0" w:leader="none"/>
              </w:tabs>
              <w:spacing w:before="0" w:after="119"/>
              <w:ind w:left="0" w:hanging="0"/>
              <w:rPr/>
            </w:pPr>
            <w:r>
              <w:rPr/>
            </w:r>
          </w:p>
        </w:tc>
      </w:tr>
      <w:tr>
        <w:trPr/>
        <w:tc>
          <w:tcPr>
            <w:tcW w:w="7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76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Датчик температуры МУЛЬТИТЕСТ ДТУ-3-01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8 200</w:t>
            </w:r>
          </w:p>
        </w:tc>
      </w:tr>
      <w:tr>
        <w:trPr/>
        <w:tc>
          <w:tcPr>
            <w:tcW w:w="7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76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Bitstream Vera Sans" w:cs="Times New Roman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color w:val="auto"/>
                <w:sz w:val="22"/>
                <w:szCs w:val="22"/>
                <w:lang w:val="ru-RU" w:eastAsia="zxx" w:bidi="zxx"/>
              </w:rPr>
              <w:t>Датчик температуры МУЛЬТИТЕСТ ДТУ-4-01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9 400</w:t>
            </w:r>
          </w:p>
        </w:tc>
      </w:tr>
      <w:tr>
        <w:trPr/>
        <w:tc>
          <w:tcPr>
            <w:tcW w:w="7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1.3.3</w:t>
            </w:r>
          </w:p>
        </w:tc>
        <w:tc>
          <w:tcPr>
            <w:tcW w:w="76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Ячейка кондуктометрическая К10.3</w:t>
            </w:r>
          </w:p>
          <w:p>
            <w:pPr>
              <w:pStyle w:val="Normal"/>
              <w:snapToGrid w:val="false"/>
              <w:spacing w:lineRule="auto" w:line="288" w:before="0" w:after="0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Диапазон 0...20 См/м (0...200 мСм/см)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58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 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4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00</w:t>
            </w:r>
          </w:p>
        </w:tc>
      </w:tr>
      <w:tr>
        <w:trPr/>
        <w:tc>
          <w:tcPr>
            <w:tcW w:w="7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1.3.4</w:t>
            </w:r>
          </w:p>
        </w:tc>
        <w:tc>
          <w:tcPr>
            <w:tcW w:w="76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Ячейка кондуктометрическая К10</w:t>
            </w:r>
          </w:p>
          <w:p>
            <w:pPr>
              <w:pStyle w:val="Normal"/>
              <w:snapToGrid w:val="false"/>
              <w:spacing w:lineRule="auto" w:line="288" w:before="0" w:after="0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Диапазон 0...20 См/м (0...200 мСм/см)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80 600</w:t>
            </w:r>
          </w:p>
        </w:tc>
      </w:tr>
      <w:tr>
        <w:trPr/>
        <w:tc>
          <w:tcPr>
            <w:tcW w:w="7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1.3.5</w:t>
            </w:r>
          </w:p>
        </w:tc>
        <w:tc>
          <w:tcPr>
            <w:tcW w:w="76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Bitstream Vera Sans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</w:pPr>
            <w:r>
              <w:rPr>
                <w:rFonts w:eastAsia="Bitstream Vera Sans" w:cs="Times New Roman" w:ascii="Arial" w:hAnsi="Arial"/>
                <w:b w:val="false"/>
                <w:bCs w:val="false"/>
                <w:color w:val="auto"/>
                <w:sz w:val="22"/>
                <w:szCs w:val="22"/>
                <w:lang w:val="ru-RU" w:eastAsia="zxx" w:bidi="zxx"/>
              </w:rPr>
              <w:t>Кабель связи с ЭВМ (RS-232)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ind w:left="0" w:right="113" w:hanging="0"/>
              <w:jc w:val="righ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80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</w:tr>
    </w:tbl>
    <w:p>
      <w:pPr>
        <w:pStyle w:val="Style13"/>
        <w:spacing w:before="0" w:after="0"/>
        <w:rPr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680" w:top="1193" w:footer="680" w:bottom="2060" w:gutter="0"/>
      <w:pgNumType w:fmt="decimal"/>
      <w:formProt w:val="false"/>
      <w:textDirection w:val="lrTb"/>
      <w:docGrid w:type="default" w:linePitch="312" w:charSpace="229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auto"/>
    <w:pitch w:val="default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>
        <w:sz w:val="20"/>
        <w:szCs w:val="20"/>
      </w:rPr>
    </w:pPr>
    <w:r>
      <w:rPr>
        <w:sz w:val="20"/>
        <w:szCs w:val="20"/>
      </w:rPr>
      <w:t>* Действует до момента введения в действие нового прайс-листа.</w:t>
    </w:r>
  </w:p>
  <w:p>
    <w:pPr>
      <w:pStyle w:val="Style20"/>
      <w:rPr>
        <w:sz w:val="20"/>
        <w:szCs w:val="20"/>
      </w:rPr>
    </w:pPr>
    <w:r>
      <w:rPr>
        <w:sz w:val="20"/>
        <w:szCs w:val="20"/>
      </w:rPr>
    </w:r>
  </w:p>
  <w:p>
    <w:pPr>
      <w:pStyle w:val="Style20"/>
      <w:rPr>
        <w:sz w:val="20"/>
        <w:szCs w:val="20"/>
      </w:rPr>
    </w:pPr>
    <w:r>
      <w:rPr>
        <w:sz w:val="20"/>
        <w:szCs w:val="20"/>
      </w:rPr>
      <w:t xml:space="preserve">** Приборы и электроды в комплектах без поверки. Стоимость поверки приборов ИПЛ: 1-канальных - </w:t>
    </w:r>
    <w:r>
      <w:rPr>
        <w:sz w:val="20"/>
        <w:szCs w:val="20"/>
        <w:lang w:val="en-US"/>
      </w:rPr>
      <w:t>4</w:t>
    </w:r>
    <w:r>
      <w:rPr>
        <w:sz w:val="20"/>
        <w:szCs w:val="20"/>
        <w:lang w:val="en-US"/>
      </w:rPr>
      <w:t>4</w:t>
    </w:r>
    <w:r>
      <w:rPr>
        <w:sz w:val="20"/>
        <w:szCs w:val="20"/>
        <w:lang w:val="en-US"/>
      </w:rPr>
      <w:t>00</w:t>
    </w:r>
    <w:r>
      <w:rPr>
        <w:sz w:val="20"/>
        <w:szCs w:val="20"/>
      </w:rPr>
      <w:t xml:space="preserve">, 2-канальных - </w:t>
    </w:r>
    <w:r>
      <w:rPr>
        <w:sz w:val="20"/>
        <w:szCs w:val="20"/>
        <w:lang w:val="en-US"/>
      </w:rPr>
      <w:t>5</w:t>
    </w:r>
    <w:r>
      <w:rPr>
        <w:sz w:val="20"/>
        <w:szCs w:val="20"/>
        <w:lang w:val="en-US"/>
      </w:rPr>
      <w:t>9</w:t>
    </w:r>
    <w:r>
      <w:rPr>
        <w:sz w:val="20"/>
        <w:szCs w:val="20"/>
        <w:lang w:val="en-US"/>
      </w:rPr>
      <w:t>00</w:t>
    </w:r>
    <w:r>
      <w:rPr>
        <w:sz w:val="20"/>
        <w:szCs w:val="20"/>
      </w:rPr>
      <w:t>, 3-канальных - 7</w:t>
    </w:r>
    <w:r>
      <w:rPr>
        <w:sz w:val="20"/>
        <w:szCs w:val="20"/>
      </w:rPr>
      <w:t>5</w:t>
    </w:r>
    <w:r>
      <w:rPr>
        <w:sz w:val="20"/>
        <w:szCs w:val="20"/>
        <w:lang w:val="en-US"/>
      </w:rPr>
      <w:t>00</w:t>
    </w:r>
    <w:r>
      <w:rPr>
        <w:sz w:val="20"/>
        <w:szCs w:val="20"/>
      </w:rPr>
      <w:t>, 513 - 7</w:t>
    </w:r>
    <w:r>
      <w:rPr>
        <w:sz w:val="20"/>
        <w:szCs w:val="20"/>
      </w:rPr>
      <w:t>5</w:t>
    </w:r>
    <w:r>
      <w:rPr>
        <w:sz w:val="20"/>
        <w:szCs w:val="20"/>
        <w:lang w:val="en-US"/>
      </w:rPr>
      <w:t>00</w:t>
    </w:r>
    <w:r>
      <w:rPr>
        <w:sz w:val="20"/>
        <w:szCs w:val="20"/>
      </w:rPr>
      <w:t xml:space="preserve"> руб.; КСЛ - 9</w:t>
    </w:r>
    <w:r>
      <w:rPr>
        <w:sz w:val="20"/>
        <w:szCs w:val="20"/>
        <w:lang w:val="en-US"/>
      </w:rPr>
      <w:t>9</w:t>
    </w:r>
    <w:r>
      <w:rPr>
        <w:sz w:val="20"/>
        <w:szCs w:val="20"/>
      </w:rPr>
      <w:t xml:space="preserve">00 руб.; электродов </w:t>
    </w:r>
    <w:r>
      <w:rPr>
        <w:sz w:val="20"/>
        <w:szCs w:val="20"/>
        <w:lang w:val="en-US"/>
      </w:rPr>
      <w:t>1</w:t>
    </w:r>
    <w:r>
      <w:rPr>
        <w:sz w:val="20"/>
        <w:szCs w:val="20"/>
        <w:lang w:val="en-US"/>
      </w:rPr>
      <w:t>5</w:t>
    </w:r>
    <w:r>
      <w:rPr>
        <w:sz w:val="20"/>
        <w:szCs w:val="20"/>
        <w:lang w:val="en-US"/>
      </w:rPr>
      <w:t>00</w:t>
    </w:r>
    <w:r>
      <w:rPr>
        <w:sz w:val="20"/>
        <w:szCs w:val="20"/>
      </w:rPr>
      <w:t xml:space="preserve"> руб.</w:t>
    </w:r>
  </w:p>
  <w:p>
    <w:pPr>
      <w:pStyle w:val="Style20"/>
      <w:rPr>
        <w:sz w:val="20"/>
        <w:szCs w:val="20"/>
      </w:rPr>
    </w:pPr>
    <w:r>
      <w:rPr>
        <w:sz w:val="20"/>
        <w:szCs w:val="20"/>
      </w:rPr>
    </w:r>
  </w:p>
  <w:p>
    <w:pPr>
      <w:pStyle w:val="Style20"/>
      <w:rPr>
        <w:sz w:val="20"/>
        <w:szCs w:val="20"/>
      </w:rPr>
    </w:pPr>
    <w:r>
      <w:rPr>
        <w:sz w:val="20"/>
        <w:szCs w:val="20"/>
      </w:rPr>
      <w:t>НПП "СЕМИКО"          Тел./факс (383) 271-01-25          http://www.semico.ru          E-mail: semico@mail.ru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right"/>
      <w:rPr/>
    </w:pPr>
    <w:r>
      <w:rPr>
        <w:lang w:val="en-US"/>
      </w:rPr>
      <w:t>15</w:t>
    </w:r>
    <w:r>
      <w:rPr/>
      <w:t xml:space="preserve"> </w:t>
    </w:r>
    <w:r>
      <w:rPr/>
      <w:t>июля</w:t>
    </w:r>
    <w:r>
      <w:rPr/>
      <w:t xml:space="preserve"> 202</w:t>
    </w:r>
    <w:r>
      <w:rPr/>
      <w:t>5</w:t>
    </w:r>
    <w:r>
      <w:rPr/>
      <w:t xml:space="preserve"> г. </w:t>
    </w:r>
    <w:r>
      <w:rPr>
        <w:b/>
        <w:bCs/>
      </w:rPr>
      <w:t>*</w:t>
    </w:r>
    <w:r>
      <w:rPr/>
      <w:tab/>
      <w:tab/>
      <w:t xml:space="preserve">Стр.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из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Lucidasans"/>
        <w:kern w:val="2"/>
        <w:szCs w:val="24"/>
        <w:lang w:val="ru-RU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Arial" w:hAnsi="Arial" w:eastAsia="DejaVu Sans" w:cs="Lucidasans"/>
      <w:color w:val="auto"/>
      <w:kern w:val="2"/>
      <w:sz w:val="20"/>
      <w:szCs w:val="24"/>
      <w:lang w:val="ru-RU" w:eastAsia="zxx" w:bidi="zxx"/>
    </w:rPr>
  </w:style>
  <w:style w:type="paragraph" w:styleId="1">
    <w:name w:val="Heading 1"/>
    <w:basedOn w:val="Style15"/>
    <w:next w:val="Style13"/>
    <w:qFormat/>
    <w:pPr>
      <w:numPr>
        <w:ilvl w:val="0"/>
        <w:numId w:val="1"/>
      </w:numPr>
      <w:spacing w:before="0" w:after="119"/>
      <w:jc w:val="center"/>
      <w:outlineLvl w:val="0"/>
    </w:pPr>
    <w:rPr>
      <w:b/>
      <w:bCs/>
      <w:sz w:val="28"/>
      <w:szCs w:val="32"/>
    </w:rPr>
  </w:style>
  <w:style w:type="paragraph" w:styleId="2">
    <w:name w:val="Heading 2"/>
    <w:basedOn w:val="Style15"/>
    <w:next w:val="Style13"/>
    <w:qFormat/>
    <w:pPr>
      <w:numPr>
        <w:ilvl w:val="1"/>
        <w:numId w:val="1"/>
      </w:numPr>
      <w:spacing w:before="0" w:after="119"/>
      <w:outlineLvl w:val="1"/>
    </w:pPr>
    <w:rPr>
      <w:b/>
      <w:bCs/>
      <w:i w:val="false"/>
      <w:iCs/>
      <w:sz w:val="24"/>
      <w:szCs w:val="28"/>
    </w:rPr>
  </w:style>
  <w:style w:type="paragraph" w:styleId="3">
    <w:name w:val="Heading 3"/>
    <w:basedOn w:val="Style15"/>
    <w:next w:val="Style13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Style11">
    <w:name w:val="Символ сноски"/>
    <w:qFormat/>
    <w:rPr/>
  </w:style>
  <w:style w:type="character" w:styleId="Style12">
    <w:name w:val="Привязка сноски"/>
    <w:rPr>
      <w:vertAlign w:val="superscript"/>
    </w:rPr>
  </w:style>
  <w:style w:type="paragraph" w:styleId="Style13">
    <w:name w:val="Body Text"/>
    <w:basedOn w:val="Normal"/>
    <w:pPr>
      <w:spacing w:before="0" w:after="120"/>
    </w:pPr>
    <w:rPr/>
  </w:style>
  <w:style w:type="paragraph" w:styleId="Style14">
    <w:name w:val="Заголовок"/>
    <w:basedOn w:val="Normal"/>
    <w:next w:val="Style13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Style15">
    <w:name w:val="Title"/>
    <w:basedOn w:val="Normal"/>
    <w:next w:val="Style13"/>
    <w:qFormat/>
    <w:pPr>
      <w:keepNext w:val="true"/>
      <w:spacing w:before="240" w:after="120"/>
    </w:pPr>
    <w:rPr>
      <w:rFonts w:ascii="Arial" w:hAnsi="Arial" w:eastAsia="HG Mincho Light J" w:cs="Lucidasans"/>
      <w:sz w:val="28"/>
      <w:szCs w:val="28"/>
    </w:rPr>
  </w:style>
  <w:style w:type="paragraph" w:styleId="Style16">
    <w:name w:val="Subtitle"/>
    <w:basedOn w:val="Style15"/>
    <w:next w:val="Style13"/>
    <w:qFormat/>
    <w:pPr>
      <w:jc w:val="center"/>
    </w:pPr>
    <w:rPr>
      <w:i/>
      <w:iCs/>
      <w:sz w:val="28"/>
      <w:szCs w:val="28"/>
    </w:rPr>
  </w:style>
  <w:style w:type="paragraph" w:styleId="Style17">
    <w:name w:val="List"/>
    <w:basedOn w:val="Style13"/>
    <w:pPr/>
    <w:rPr>
      <w:rFonts w:ascii="Arial" w:hAnsi="Arial" w:cs="Lucidasans"/>
    </w:rPr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Arial" w:hAnsi="Arial" w:cs="Lucidasans"/>
      <w:i/>
      <w:iCs/>
      <w:sz w:val="20"/>
      <w:szCs w:val="24"/>
    </w:rPr>
  </w:style>
  <w:style w:type="paragraph" w:styleId="Style24">
    <w:name w:val="Footnote Text"/>
    <w:basedOn w:val="Normal"/>
    <w:pPr>
      <w:suppressLineNumbers/>
      <w:spacing w:before="0" w:after="0"/>
      <w:ind w:left="283" w:right="0" w:hanging="283"/>
    </w:pPr>
    <w:rPr>
      <w:sz w:val="20"/>
      <w:szCs w:val="20"/>
    </w:rPr>
  </w:style>
  <w:style w:type="paragraph" w:styleId="Style25">
    <w:name w:val="Указатель"/>
    <w:basedOn w:val="Normal"/>
    <w:qFormat/>
    <w:pPr>
      <w:suppressLineNumbers/>
    </w:pPr>
    <w:rPr>
      <w:rFonts w:ascii="Arial" w:hAnsi="Arial" w:cs="Lucida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LibreOffice/6.4.3.2$Windows_X86_64 LibreOffice_project/747b5d0ebf89f41c860ec2a39efd7cb15b54f2d8</Application>
  <Pages>4</Pages>
  <Words>1213</Words>
  <Characters>7321</Characters>
  <CharactersWithSpaces>8351</CharactersWithSpaces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2025-07-13T02:31:11Z</dcterms:created>
  <dc:creator/>
  <dc:description>Прайс-лист НПП "СЕМИКО"
Приборы для электрохимического анализа
Принадлежности для проведения анализов
Запасные части и принадлежности</dc:description>
  <cp:keywords>Прайс-лист СЕМИКО прибор МУЛЬТИТЕСТ анализ запасные части принадлежности прейскурант</cp:keywords>
  <dc:language>ru-RU</dc:language>
  <cp:lastModifiedBy/>
  <cp:revision>1</cp:revision>
  <dc:subject>Прайс-лист ООО НПП СЕМИКО</dc:subject>
  <dc:title>Прайс-лист ООО НПП СЕМИКО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